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3D" w:rsidRPr="00B15627" w:rsidRDefault="00B15627" w:rsidP="00B15627">
      <w:pPr>
        <w:pStyle w:val="21"/>
        <w:ind w:right="-408" w:firstLine="0"/>
        <w:jc w:val="right"/>
        <w:rPr>
          <w:rFonts w:ascii="Arial" w:hAnsi="Arial" w:cs="Arial"/>
          <w:b w:val="0"/>
          <w:bCs/>
          <w:sz w:val="22"/>
          <w:szCs w:val="22"/>
          <w:lang w:val="el-GR"/>
        </w:rPr>
      </w:pPr>
      <w:bookmarkStart w:id="0" w:name="_GoBack"/>
      <w:r w:rsidRPr="00B15627">
        <w:rPr>
          <w:rFonts w:ascii="Arial" w:hAnsi="Arial" w:cs="Arial"/>
          <w:b w:val="0"/>
          <w:bCs/>
          <w:sz w:val="22"/>
          <w:szCs w:val="22"/>
          <w:lang w:val="el-GR"/>
        </w:rPr>
        <w:t>Σχέδιο</w:t>
      </w:r>
    </w:p>
    <w:bookmarkEnd w:id="0"/>
    <w:p w:rsidR="0044753D" w:rsidRDefault="0044753D">
      <w:pPr>
        <w:tabs>
          <w:tab w:val="left" w:pos="7515"/>
        </w:tabs>
      </w:pPr>
    </w:p>
    <w:tbl>
      <w:tblPr>
        <w:tblW w:w="10305" w:type="dxa"/>
        <w:tblInd w:w="-38" w:type="dxa"/>
        <w:tblLook w:val="04A0" w:firstRow="1" w:lastRow="0" w:firstColumn="1" w:lastColumn="0" w:noHBand="0" w:noVBand="1"/>
      </w:tblPr>
      <w:tblGrid>
        <w:gridCol w:w="2391"/>
        <w:gridCol w:w="3426"/>
        <w:gridCol w:w="791"/>
        <w:gridCol w:w="3697"/>
      </w:tblGrid>
      <w:tr w:rsidR="007B42E7" w:rsidRPr="00ED1CBD" w:rsidTr="00AA36B8">
        <w:trPr>
          <w:trHeight w:val="949"/>
        </w:trPr>
        <w:tc>
          <w:tcPr>
            <w:tcW w:w="5699" w:type="dxa"/>
            <w:gridSpan w:val="2"/>
            <w:shd w:val="clear" w:color="auto" w:fill="auto"/>
          </w:tcPr>
          <w:p w:rsidR="007B42E7" w:rsidRDefault="00B15627" w:rsidP="00AA36B8">
            <w:pPr>
              <w:jc w:val="center"/>
            </w:pPr>
            <w:r>
              <w:pict>
                <v:shape id="_x0000_i1025" style="width:50.4pt;height:50.4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</w:pict>
            </w:r>
          </w:p>
          <w:p w:rsidR="007B42E7" w:rsidRPr="009816D5" w:rsidRDefault="007B42E7" w:rsidP="00AA36B8">
            <w:pPr>
              <w:jc w:val="center"/>
              <w:rPr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7B42E7" w:rsidRPr="009816D5" w:rsidRDefault="007B42E7" w:rsidP="00AA36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ΠΕΡΙΦΕΡΕΙΑ ΚΕΝΤΡΙΚΗΣ ΜΑΚΕΔΟΝΙΑΣ </w:t>
            </w:r>
          </w:p>
          <w:p w:rsidR="007B42E7" w:rsidRPr="009816D5" w:rsidRDefault="007B42E7" w:rsidP="00AA36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>ΓΕΝΙΚΗ ΔΙΕΥΘΥΝΣΗ  ΑΓΡΟΤΙΚΗΣ ΟΙΚΟΝΟΜΙΑΣ ΚΑΙ ΚΤΗΝΙΑΤΡΙΚΗΣ</w:t>
            </w:r>
          </w:p>
          <w:p w:rsidR="007B42E7" w:rsidRPr="009816D5" w:rsidRDefault="007B42E7" w:rsidP="00AA36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>ΔΙΕΥΘΥΝΣΗ ΑΓΡΟΤΙΚΗΣ ΟΙΚΟΝΟΜΙΑΣ ΚΑΙ ΑΛΙΕΙΑΣ</w:t>
            </w:r>
          </w:p>
          <w:p w:rsidR="007B42E7" w:rsidRPr="009816D5" w:rsidRDefault="007B42E7" w:rsidP="00AA36B8">
            <w:pPr>
              <w:jc w:val="center"/>
              <w:rPr>
                <w:lang w:val="el-GR"/>
              </w:rPr>
            </w:pPr>
            <w:r w:rsidRPr="009816D5">
              <w:rPr>
                <w:rFonts w:ascii="Arial" w:eastAsia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>Μ.Ε. ΘΕΣΣΑΛΟΝΙΚΗΣ</w:t>
            </w:r>
          </w:p>
          <w:p w:rsidR="007B42E7" w:rsidRPr="009816D5" w:rsidRDefault="007B42E7" w:rsidP="00AA36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ΤΜΗΜΑ ΠΟΙΟΤΙΚΟΥ ΚΑΙ </w:t>
            </w:r>
          </w:p>
          <w:p w:rsidR="007B42E7" w:rsidRPr="009816D5" w:rsidRDefault="007B42E7" w:rsidP="00AA36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ΦΥΤΟΥΓΕΙΟΝΟΜΙΚΟΥ ΕΛΕΓΧΟΥ </w:t>
            </w:r>
          </w:p>
        </w:tc>
        <w:tc>
          <w:tcPr>
            <w:tcW w:w="694" w:type="dxa"/>
            <w:shd w:val="clear" w:color="auto" w:fill="auto"/>
          </w:tcPr>
          <w:p w:rsidR="007B42E7" w:rsidRDefault="007B42E7" w:rsidP="00AA36B8">
            <w:pPr>
              <w:pStyle w:val="21"/>
              <w:snapToGrid w:val="0"/>
              <w:ind w:left="-291" w:firstLine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911" w:type="dxa"/>
            <w:shd w:val="clear" w:color="auto" w:fill="auto"/>
          </w:tcPr>
          <w:p w:rsidR="007B42E7" w:rsidRPr="009816D5" w:rsidRDefault="007B42E7" w:rsidP="00AA36B8">
            <w:pPr>
              <w:pStyle w:val="21"/>
              <w:ind w:right="-408" w:firstLine="0"/>
              <w:jc w:val="right"/>
              <w:rPr>
                <w:lang w:val="el-GR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x</w:t>
            </w:r>
          </w:p>
          <w:p w:rsidR="007B42E7" w:rsidRPr="009816D5" w:rsidRDefault="007B42E7" w:rsidP="00AA36B8">
            <w:pPr>
              <w:pStyle w:val="21"/>
              <w:ind w:right="-408" w:firstLine="0"/>
              <w:rPr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Θεσσαλονίκη </w:t>
            </w:r>
            <w:r w:rsidR="00634482">
              <w:rPr>
                <w:rFonts w:ascii="Arial" w:hAnsi="Arial" w:cs="Arial"/>
                <w:bCs/>
                <w:sz w:val="22"/>
                <w:szCs w:val="22"/>
                <w:lang w:val="el-GR"/>
              </w:rPr>
              <w:t>11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="00634482">
              <w:rPr>
                <w:rFonts w:ascii="Arial" w:hAnsi="Arial" w:cs="Arial"/>
                <w:bCs/>
                <w:sz w:val="22"/>
                <w:szCs w:val="22"/>
                <w:lang w:val="el-GR"/>
              </w:rPr>
              <w:t>Αυγούστου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202</w:t>
            </w:r>
            <w:r w:rsidR="00634482">
              <w:rPr>
                <w:rFonts w:ascii="Arial" w:hAnsi="Arial" w:cs="Arial"/>
                <w:bCs/>
                <w:sz w:val="22"/>
                <w:szCs w:val="22"/>
                <w:lang w:val="el-GR"/>
              </w:rPr>
              <w:t>3</w:t>
            </w:r>
          </w:p>
          <w:p w:rsidR="007B42E7" w:rsidRPr="00ED1CBD" w:rsidRDefault="007B42E7" w:rsidP="00AA36B8">
            <w:pPr>
              <w:pStyle w:val="21"/>
              <w:ind w:firstLine="0"/>
              <w:rPr>
                <w:lang w:val="el-G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.: </w:t>
            </w:r>
            <w:r w:rsidR="00ED1CBD" w:rsidRPr="00ED1CBD">
              <w:rPr>
                <w:rFonts w:ascii="Arial" w:hAnsi="Arial" w:cs="Arial"/>
                <w:bCs/>
                <w:sz w:val="22"/>
                <w:szCs w:val="22"/>
                <w:lang w:val="el-GR"/>
              </w:rPr>
              <w:t>550714</w:t>
            </w:r>
            <w:r w:rsidR="00ED1CBD" w:rsidRPr="00B15627">
              <w:rPr>
                <w:rFonts w:ascii="Arial" w:hAnsi="Arial" w:cs="Arial"/>
                <w:bCs/>
                <w:sz w:val="22"/>
                <w:szCs w:val="22"/>
                <w:lang w:val="el-GR"/>
              </w:rPr>
              <w:t>(19465)</w:t>
            </w: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pStyle w:val="21"/>
              <w:ind w:firstLine="0"/>
              <w:rPr>
                <w:rFonts w:ascii="Arial" w:hAnsi="Arial" w:cs="Arial"/>
                <w:bCs/>
                <w:sz w:val="22"/>
                <w:szCs w:val="22"/>
                <w:lang w:val="el-GR"/>
              </w:rPr>
            </w:pPr>
          </w:p>
          <w:p w:rsidR="007B42E7" w:rsidRPr="00B015C9" w:rsidRDefault="007B42E7" w:rsidP="00AA36B8">
            <w:pPr>
              <w:pStyle w:val="21"/>
              <w:ind w:firstLine="0"/>
              <w:rPr>
                <w:lang w:val="el-G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(αποστολή με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)</w:t>
            </w:r>
          </w:p>
        </w:tc>
      </w:tr>
      <w:tr w:rsidR="007B42E7" w:rsidTr="00AA36B8">
        <w:tc>
          <w:tcPr>
            <w:tcW w:w="2475" w:type="dxa"/>
            <w:shd w:val="clear" w:color="auto" w:fill="auto"/>
          </w:tcPr>
          <w:p w:rsidR="007B42E7" w:rsidRPr="009816D5" w:rsidRDefault="007B42E7" w:rsidP="00AA36B8">
            <w:pPr>
              <w:pStyle w:val="31"/>
              <w:ind w:right="0"/>
              <w:rPr>
                <w:lang w:val="el-GR"/>
              </w:rPr>
            </w:pPr>
            <w:proofErr w:type="spellStart"/>
            <w:r w:rsidRPr="009816D5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>Ταχ</w:t>
            </w:r>
            <w:proofErr w:type="spellEnd"/>
            <w:r w:rsidRPr="009816D5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. Διεύθυνση  </w:t>
            </w:r>
            <w:r>
              <w:rPr>
                <w:rFonts w:ascii="Wingdings" w:eastAsia="Wingdings" w:hAnsi="Wingdings" w:cs="Wingdings"/>
                <w:b/>
                <w:bCs/>
                <w:i w:val="0"/>
                <w:iCs/>
                <w:sz w:val="22"/>
                <w:szCs w:val="22"/>
              </w:rPr>
              <w:t></w:t>
            </w:r>
            <w:r w:rsidRPr="009816D5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 :</w:t>
            </w:r>
          </w:p>
          <w:p w:rsidR="007B42E7" w:rsidRPr="009816D5" w:rsidRDefault="007B42E7" w:rsidP="00AA36B8">
            <w:pPr>
              <w:pStyle w:val="31"/>
              <w:ind w:right="0"/>
              <w:rPr>
                <w:rFonts w:ascii="Arial" w:eastAsia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</w:pPr>
            <w:r w:rsidRPr="009816D5">
              <w:rPr>
                <w:rFonts w:ascii="Arial" w:eastAsia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 </w:t>
            </w:r>
          </w:p>
          <w:p w:rsidR="007B42E7" w:rsidRPr="009816D5" w:rsidRDefault="007B42E7" w:rsidP="00AA36B8">
            <w:pPr>
              <w:pStyle w:val="31"/>
              <w:ind w:right="0"/>
              <w:rPr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Πληροφορίες       </w:t>
            </w:r>
            <w:r>
              <w:rPr>
                <w:rFonts w:ascii="Wingdings" w:eastAsia="Wingdings" w:hAnsi="Wingdings" w:cs="Wingdings"/>
                <w:b/>
                <w:bCs/>
                <w:i w:val="0"/>
                <w:iCs/>
                <w:sz w:val="22"/>
                <w:szCs w:val="22"/>
              </w:rPr>
              <w:t></w:t>
            </w:r>
            <w:r w:rsidRPr="009816D5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lang w:val="el-GR"/>
              </w:rPr>
              <w:t xml:space="preserve"> :</w:t>
            </w:r>
          </w:p>
          <w:p w:rsidR="007B42E7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</w:pPr>
          </w:p>
          <w:p w:rsidR="007B42E7" w:rsidRPr="009816D5" w:rsidRDefault="007B42E7" w:rsidP="00AA36B8">
            <w:pPr>
              <w:rPr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 xml:space="preserve">Τηλέφωνο           </w:t>
            </w:r>
            <w:r>
              <w:rPr>
                <w:rFonts w:ascii="Wingdings" w:eastAsia="Wingdings" w:hAnsi="Wingdings" w:cs="Wingdings"/>
                <w:b/>
                <w:bCs/>
                <w:iCs/>
                <w:sz w:val="22"/>
                <w:szCs w:val="22"/>
              </w:rPr>
              <w:t></w:t>
            </w:r>
            <w:r w:rsidRPr="009816D5"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 xml:space="preserve"> :</w:t>
            </w:r>
          </w:p>
          <w:p w:rsidR="007B42E7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:rsidR="007B42E7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 :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7B42E7" w:rsidRPr="009816D5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26ης Οκτωβρίου 64</w:t>
            </w:r>
          </w:p>
          <w:p w:rsidR="007B42E7" w:rsidRPr="009816D5" w:rsidRDefault="007B42E7" w:rsidP="00AA36B8">
            <w:pPr>
              <w:pStyle w:val="10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54627 Θεσσαλονίκη</w:t>
            </w:r>
          </w:p>
          <w:p w:rsidR="007B42E7" w:rsidRPr="009816D5" w:rsidRDefault="007B42E7" w:rsidP="00AA36B8">
            <w:pPr>
              <w:pStyle w:val="10"/>
              <w:rPr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ν.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Βαϊτσόπουλος</w:t>
            </w:r>
            <w:proofErr w:type="spellEnd"/>
          </w:p>
          <w:p w:rsidR="007B42E7" w:rsidRPr="009A6D1C" w:rsidRDefault="007B42E7" w:rsidP="00AA36B8">
            <w:pPr>
              <w:pStyle w:val="10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9A6D1C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Γεωρ.Χαμουρτζάκης</w:t>
            </w:r>
            <w:proofErr w:type="spellEnd"/>
          </w:p>
          <w:p w:rsidR="007B42E7" w:rsidRPr="009816D5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2313 330417</w:t>
            </w:r>
          </w:p>
          <w:p w:rsidR="007B42E7" w:rsidRPr="009816D5" w:rsidRDefault="007B42E7" w:rsidP="00AA36B8">
            <w:pPr>
              <w:rPr>
                <w:lang w:val="el-GR"/>
              </w:rPr>
            </w:pPr>
            <w:r w:rsidRPr="009816D5"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2313 330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418</w:t>
            </w:r>
          </w:p>
          <w:p w:rsidR="007B42E7" w:rsidRPr="009816D5" w:rsidRDefault="007B42E7" w:rsidP="00AA36B8">
            <w:pPr>
              <w:rPr>
                <w:lang w:val="el-GR"/>
              </w:rPr>
            </w:pP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Vaitsopoulos</w:t>
            </w:r>
            <w:proofErr w:type="spellEnd"/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@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pkm</w:t>
            </w:r>
            <w:proofErr w:type="spellEnd"/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gov</w:t>
            </w:r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gr</w:t>
            </w:r>
          </w:p>
          <w:p w:rsidR="007B42E7" w:rsidRPr="009816D5" w:rsidRDefault="007B42E7" w:rsidP="00AA36B8">
            <w:pPr>
              <w:rPr>
                <w:lang w:val="el-GR"/>
              </w:rPr>
            </w:pP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G</w:t>
            </w:r>
            <w:r w:rsidRPr="00295F88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Chamourtzakis</w:t>
            </w:r>
            <w:proofErr w:type="spellEnd"/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@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pkm</w:t>
            </w:r>
            <w:proofErr w:type="spellEnd"/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gov</w:t>
            </w:r>
            <w:r w:rsidRPr="009816D5"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  <w:t>.</w:t>
            </w:r>
            <w:r>
              <w:rPr>
                <w:rStyle w:val="a4"/>
                <w:rFonts w:ascii="Arial" w:hAnsi="Arial" w:cs="Arial"/>
                <w:b/>
                <w:bCs/>
                <w:iCs/>
                <w:sz w:val="22"/>
                <w:szCs w:val="22"/>
              </w:rPr>
              <w:t>gr</w:t>
            </w:r>
          </w:p>
          <w:p w:rsidR="007B42E7" w:rsidRPr="009816D5" w:rsidRDefault="007B42E7" w:rsidP="00AA36B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l-GR"/>
              </w:rPr>
            </w:pPr>
          </w:p>
        </w:tc>
        <w:tc>
          <w:tcPr>
            <w:tcW w:w="694" w:type="dxa"/>
            <w:shd w:val="clear" w:color="auto" w:fill="auto"/>
          </w:tcPr>
          <w:p w:rsidR="007B42E7" w:rsidRDefault="007B42E7" w:rsidP="00AA36B8">
            <w:pPr>
              <w:pStyle w:val="1"/>
              <w:ind w:left="-108" w:right="-108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ΠΡΟΣ:</w:t>
            </w: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2E7" w:rsidRDefault="007B42E7" w:rsidP="00AA36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0" w:type="dxa"/>
            <w:shd w:val="clear" w:color="auto" w:fill="auto"/>
          </w:tcPr>
          <w:p w:rsidR="007B42E7" w:rsidRDefault="007B42E7" w:rsidP="00AA36B8">
            <w:pPr>
              <w:pStyle w:val="1"/>
              <w:tabs>
                <w:tab w:val="left" w:pos="4569"/>
              </w:tabs>
              <w:spacing w:line="360" w:lineRule="auto"/>
              <w:ind w:righ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Όπως Π.Δ.</w:t>
            </w:r>
          </w:p>
          <w:p w:rsidR="007B42E7" w:rsidRDefault="007B42E7" w:rsidP="00AA36B8">
            <w:pPr>
              <w:pStyle w:val="1"/>
              <w:tabs>
                <w:tab w:val="left" w:pos="4569"/>
              </w:tabs>
              <w:ind w:left="-62" w:righ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7B42E7" w:rsidRDefault="007B42E7" w:rsidP="00AA36B8">
            <w:pPr>
              <w:pStyle w:val="1"/>
              <w:tabs>
                <w:tab w:val="left" w:pos="4569"/>
              </w:tabs>
              <w:ind w:left="-62" w:right="-108"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B42E7" w:rsidTr="00AA36B8">
        <w:tc>
          <w:tcPr>
            <w:tcW w:w="10304" w:type="dxa"/>
            <w:gridSpan w:val="4"/>
            <w:shd w:val="clear" w:color="auto" w:fill="auto"/>
          </w:tcPr>
          <w:p w:rsidR="007B42E7" w:rsidRPr="009816D5" w:rsidRDefault="00634482" w:rsidP="00AA36B8">
            <w:pPr>
              <w:pStyle w:val="3"/>
              <w:tabs>
                <w:tab w:val="left" w:pos="6379"/>
              </w:tabs>
              <w:ind w:hanging="566"/>
              <w:jc w:val="center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 w:rsidRPr="00634482">
              <w:rPr>
                <w:rFonts w:ascii="Arial" w:hAnsi="Arial" w:cs="Arial"/>
                <w:b/>
                <w:sz w:val="22"/>
                <w:szCs w:val="22"/>
                <w:vertAlign w:val="superscript"/>
                <w:lang w:val="el-GR"/>
              </w:rPr>
              <w:t>ο</w:t>
            </w:r>
            <w:r w:rsidR="007B42E7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ΔΕΛΤΙΟ ΓΕΩΡΓΙΚΩΝ ΠΡΟΕΙΔΟΠΟΙΗΣΕΩΝ </w:t>
            </w:r>
          </w:p>
          <w:p w:rsidR="007B42E7" w:rsidRDefault="007B42E7" w:rsidP="00AA36B8">
            <w:pPr>
              <w:pStyle w:val="3"/>
              <w:tabs>
                <w:tab w:val="left" w:pos="6379"/>
              </w:tabs>
              <w:ind w:hanging="566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ΟΛΟΚΛΗΡΩΜΕΝΗΣ ΦΥΤΟΠΡΟΣΤΑΣΙΑΣ ΣΤΗ ΒΑΜΒΑΚΟΚΑΛΛΙΕΡΓΕΙΑ </w:t>
            </w:r>
          </w:p>
          <w:p w:rsidR="007B42E7" w:rsidRDefault="007B42E7" w:rsidP="00AA36B8">
            <w:pPr>
              <w:pStyle w:val="3"/>
              <w:tabs>
                <w:tab w:val="left" w:pos="6379"/>
              </w:tabs>
              <w:ind w:hanging="566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ΤΗΣ ΜΗΤΡΟΠΟΛΙΤΙΚΗΣ ΕΝΟΤΗΤΑΣ (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.Ε.) ΘΕΣΣΑΛΟΝΙΚΗΣ</w:t>
            </w:r>
          </w:p>
          <w:p w:rsidR="007B42E7" w:rsidRDefault="007B42E7" w:rsidP="00AA36B8">
            <w:pPr>
              <w:ind w:left="972" w:hanging="972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</w:tbl>
    <w:p w:rsidR="007B42E7" w:rsidRDefault="007B42E7" w:rsidP="007B42E7">
      <w:pPr>
        <w:pStyle w:val="3"/>
        <w:tabs>
          <w:tab w:val="left" w:pos="6379"/>
        </w:tabs>
        <w:ind w:hanging="566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7B42E7" w:rsidRDefault="007B42E7" w:rsidP="007B42E7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af1"/>
        <w:tblW w:w="10369" w:type="dxa"/>
        <w:tblCellMar>
          <w:left w:w="158" w:type="dxa"/>
        </w:tblCellMar>
        <w:tblLook w:val="01E0" w:firstRow="1" w:lastRow="1" w:firstColumn="1" w:lastColumn="1" w:noHBand="0" w:noVBand="0"/>
      </w:tblPr>
      <w:tblGrid>
        <w:gridCol w:w="828"/>
        <w:gridCol w:w="9541"/>
      </w:tblGrid>
      <w:tr w:rsidR="007B42E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Στόχοι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1.1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Pr="009816D5" w:rsidRDefault="007B42E7" w:rsidP="00AA36B8">
            <w:pPr>
              <w:tabs>
                <w:tab w:val="left" w:pos="3686"/>
              </w:tabs>
              <w:overflowPunct w:val="0"/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Το παρόν Δελτίο Γεωργικών Προειδοποιήσεων καταρτίστηκε από τη Δ.Α.Ο.Α της Μ.Ε. Θεσσαλονίκης σε συνεργασία με το Περιφερειακό Κέντρο Προστασίας Φυτών Ποιοτικού και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Φυτοϋγειονομικού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Ελέγχου Θεσσαλονίκης και απευθύνεται στους βαμβακοπαραγωγούς με στόχο την αποτελεσματική φυτοπροστασία στον πραγματικό καλλιεργητικό χρόνο.</w:t>
            </w: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1.2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Αφορά το διάστημα της καρποφορίας με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καρπόδεση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50 % των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ανθέων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τη διατήρηση αποτελεσματικής αυτοάμυνας κάθε βαμβακοφυτείας για όλη την καλλιεργητική περίοδο.</w:t>
            </w: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1.3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 βαμβακοπαραγωγός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απαιτείται να παρακολουθεί τακτικά κάθε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βαμβακοχώραφο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σύμφωνα με τα πραγματικά δεδομένα, να εφαρμόζει τις συγκεκριμένες καλλιεργητικές πρακτικές φυτοπροστασίας και στο σωστό χρόνο, όπως παρακάτω περιγράφονται κατά περίπτωση. 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7B42E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2.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Διαπιστώσεις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2.1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Οι βαμβακοφυτείες στο μεγαλύτερο ποσοστό τους βρίσκονται στο στάδιο βλαστικής ανάπτυξης «Καρποφορία με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καρπόδεση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50% των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ανθέων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». </w:t>
            </w: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2.2</w:t>
            </w:r>
          </w:p>
          <w:p w:rsidR="00A64A74" w:rsidRDefault="00A64A74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A64A74" w:rsidRDefault="00A64A74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A64A74" w:rsidRDefault="00A64A74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7B42E7" w:rsidRDefault="00A64A74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2.3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Την περίοδο αυτή </w:t>
            </w:r>
            <w:r w:rsidR="00634482">
              <w:rPr>
                <w:rFonts w:ascii="Arial" w:hAnsi="Arial" w:cs="Arial"/>
                <w:sz w:val="22"/>
                <w:szCs w:val="22"/>
                <w:lang w:val="el-GR"/>
              </w:rPr>
              <w:t>είναι σε εξέλιξη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η 2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γενεά (γενεά του Αυγούστου)  του πράσινου σκουληκιού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και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η 2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l-GR"/>
              </w:rPr>
              <w:t xml:space="preserve">η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με 3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γενεά του ρόδινου σκουληκιού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 Συλλήψεις ενηλίκων, τόσο του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πράσινου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όσο και του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ρόδινου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σκουληκιού, υπάρχουν και στους </w:t>
            </w:r>
            <w:r w:rsidR="00634482">
              <w:rPr>
                <w:rFonts w:ascii="Arial" w:hAnsi="Arial" w:cs="Arial"/>
                <w:sz w:val="22"/>
                <w:szCs w:val="22"/>
                <w:lang w:val="el-GR"/>
              </w:rPr>
              <w:t>πέντε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αγρούς παρατήρησης όπου εγκαταστάθηκαν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φερομονικές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παγίδες. Από τους δειγματοληπτικούς ελέγχους για προνύμφες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δεν διαπιστώθηκαν προσβολές πάνω από το όριο επέμβασης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A64A74" w:rsidRPr="004E0CE0" w:rsidRDefault="00A64A74" w:rsidP="00A64A74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Από τα έντομα που προσβάλλουν το βαμβάκι διαπιστώθηκαν μικροί πληθυσμοί από αλευρώδεις,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αφίδες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Ιασσίδες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A64A74" w:rsidRPr="009816D5" w:rsidRDefault="00A64A74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</w:p>
        </w:tc>
      </w:tr>
      <w:tr w:rsidR="007B42E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3.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Συστάσεις –καλλιεργητικές πρακτικές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3.1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Είναι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απαραίτητο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να συνεχίζ</w:t>
            </w:r>
            <w:r w:rsidR="00A64A74">
              <w:rPr>
                <w:rFonts w:ascii="Arial" w:hAnsi="Arial" w:cs="Arial"/>
                <w:sz w:val="22"/>
                <w:szCs w:val="22"/>
                <w:lang w:val="el-GR"/>
              </w:rPr>
              <w:t>εται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64A74">
              <w:rPr>
                <w:rFonts w:ascii="Arial" w:hAnsi="Arial" w:cs="Arial"/>
                <w:sz w:val="22"/>
                <w:szCs w:val="22"/>
                <w:lang w:val="el-GR"/>
              </w:rPr>
              <w:t>η παρακολούθηση των βαμβακοκαλλιεργειών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ανά τρεις (3)</w:t>
            </w:r>
            <w:r w:rsidR="00F6799C">
              <w:rPr>
                <w:rFonts w:ascii="Arial" w:hAnsi="Arial" w:cs="Arial"/>
                <w:sz w:val="22"/>
                <w:szCs w:val="22"/>
                <w:lang w:val="el-GR"/>
              </w:rPr>
              <w:t xml:space="preserve"> με τέσσερις (4)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ημέρες τόσο για το πράσινο όσο και το ρόδινο σκουλήκι.</w:t>
            </w:r>
          </w:p>
          <w:p w:rsidR="007B42E7" w:rsidRDefault="007B42E7" w:rsidP="00AA36B8">
            <w:pPr>
              <w:tabs>
                <w:tab w:val="left" w:pos="3686"/>
              </w:tabs>
              <w:ind w:left="227"/>
              <w:jc w:val="both"/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Το κατώτατο όριο επέμβασης είναι</w:t>
            </w:r>
          </w:p>
          <w:p w:rsidR="007B42E7" w:rsidRPr="009816D5" w:rsidRDefault="007B42E7" w:rsidP="00AA36B8">
            <w:pPr>
              <w:numPr>
                <w:ilvl w:val="0"/>
                <w:numId w:val="2"/>
              </w:num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lastRenderedPageBreak/>
              <w:t>τέσσερις (4) προνύμφες πράσινου σκουληκιού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l-GR"/>
              </w:rPr>
              <w:t>ου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l-GR"/>
              </w:rPr>
              <w:t>ου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σταδίου μέχρι ένα (1) εκατοστό στα 100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βαμβακόφυτα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κ.μ.ο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ή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χρηστικά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μία (1) νεαρή προνύμφη στα φυτά ενάμιση (1,5) μέτρου επί της γραμμής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κ.μ.ο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., </w:t>
            </w:r>
          </w:p>
          <w:p w:rsidR="007B42E7" w:rsidRPr="009816D5" w:rsidRDefault="007B42E7" w:rsidP="00AA36B8">
            <w:pPr>
              <w:numPr>
                <w:ilvl w:val="0"/>
                <w:numId w:val="2"/>
              </w:num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πέντε έως οκτώ (5-8) προνύμφες ρόδινου σκουληκιού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κ.μ.ο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., στο εσωτερικό 100 νεαρών καρυδιών ηλικίας δύο (2) εβδομάδων σε δείγμα που λήφθηκε κατά τη διαγώνιο του αγρού.</w:t>
            </w: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3.2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Επιπλέον, οι βαμβακοπαραγωγοί πρέπει να λαμβάνουν όλα τα μέτρα ώστε να αποφεύγεται η δημιουργία τρυφερών, χυμωδών βλαστικών ιστών οι οποίοι προσελκύουν τα έντομα. 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4.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Εφαρμογή ψεκασμών με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Φυτοπροστατευτικά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Προϊόντα.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7B42E7" w:rsidRPr="00B15627" w:rsidTr="00AA36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Στις περιπτώσεις που οι παραγωγοί παρατηρήσουν στις συνεχόμενες δειγματοληψίες στο χωράφι τους προσβολή από πράσινο και ρόδινο σκουλήκι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υψηλότερη από τα όρια που αναφέρονται στη 3.1 παράγραφο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μόνο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τότε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να προβούν σε ψεκασμό  με εγκεκριμένα εντομοκτόνα. 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Συστήνονται κατά προτεραιότητα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:</w:t>
            </w:r>
          </w:p>
          <w:p w:rsidR="007B42E7" w:rsidRDefault="007B42E7" w:rsidP="007B42E7">
            <w:pPr>
              <w:numPr>
                <w:ilvl w:val="0"/>
                <w:numId w:val="8"/>
              </w:numPr>
              <w:tabs>
                <w:tab w:val="left" w:pos="3686"/>
              </w:tabs>
              <w:jc w:val="both"/>
              <w:rPr>
                <w:u w:val="single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 βιολογικά εντομοκτόνα</w:t>
            </w:r>
          </w:p>
          <w:p w:rsidR="007B42E7" w:rsidRDefault="007B42E7" w:rsidP="007B42E7">
            <w:pPr>
              <w:numPr>
                <w:ilvl w:val="0"/>
                <w:numId w:val="8"/>
              </w:numPr>
              <w:tabs>
                <w:tab w:val="left" w:pos="3686"/>
              </w:tabs>
              <w:jc w:val="both"/>
              <w:rPr>
                <w:u w:val="single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 χημικά εκλεκτικά εντομοκτόνα</w:t>
            </w:r>
          </w:p>
          <w:p w:rsidR="007B42E7" w:rsidRDefault="007B42E7" w:rsidP="007B42E7">
            <w:pPr>
              <w:numPr>
                <w:ilvl w:val="0"/>
                <w:numId w:val="8"/>
              </w:numPr>
              <w:tabs>
                <w:tab w:val="left" w:pos="3686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χημικά εντομοκτόνα μη εκλεκτικά 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Μετά τον ψεκασμό των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βαμβακοφύτων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, συνιστάται να συνεχίζονται οι δειγματοληπτικοί έλεγχοι και ο ψεκασμός να επαναληφθεί μόνο όταν υπάρχουν ξανά οι συνθήκες που αναφέρονται παραπάνω (3.1).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:rsidR="007B42E7" w:rsidRPr="009816D5" w:rsidRDefault="007B42E7" w:rsidP="00AA36B8">
            <w:p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Όταν προκύπτει ανάγκη επαναληπτικών επεμβάσεων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συνιστάται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η χρήση εντομοκτόνων διαφορετικής δράσης και διαφορετικής χημικής ομάδας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για την αποφυγή ανάπτυξης ανθεκτικότητας. </w:t>
            </w: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</w:p>
          <w:p w:rsidR="007B42E7" w:rsidRDefault="007B42E7" w:rsidP="00AA36B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Προσοχή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: </w:t>
            </w:r>
          </w:p>
          <w:p w:rsidR="007B42E7" w:rsidRPr="009816D5" w:rsidRDefault="007B42E7" w:rsidP="00AA36B8">
            <w:pPr>
              <w:numPr>
                <w:ilvl w:val="0"/>
                <w:numId w:val="3"/>
              </w:numPr>
              <w:tabs>
                <w:tab w:val="left" w:pos="3686"/>
              </w:tabs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 εγκεκριμένα εντομοκτόνα για τους ανωτέρω εχθρούς αναφέρονται στην ηλεκτρονική βάση του ΥΠ.Α.Α.Τ.</w:t>
            </w:r>
          </w:p>
          <w:p w:rsidR="007B42E7" w:rsidRDefault="007B42E7" w:rsidP="00AA36B8">
            <w:pPr>
              <w:numPr>
                <w:ilvl w:val="0"/>
                <w:numId w:val="1"/>
              </w:num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αγροχημικά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πρέπει να χρησιμοποιούνται πάντοτε σύμφωνα με τις οδηγίες της ετικέτας.</w:t>
            </w:r>
          </w:p>
          <w:p w:rsidR="007B42E7" w:rsidRDefault="007B42E7" w:rsidP="00AA36B8">
            <w:pPr>
              <w:numPr>
                <w:ilvl w:val="0"/>
                <w:numId w:val="1"/>
              </w:numPr>
              <w:tabs>
                <w:tab w:val="left" w:pos="3686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Για την προστασία των μελισσών οι ψεκασμοί πρέπει να διενεργούνται τη νύχτα. </w:t>
            </w:r>
          </w:p>
        </w:tc>
      </w:tr>
    </w:tbl>
    <w:p w:rsidR="0044753D" w:rsidRPr="009816D5" w:rsidRDefault="0044753D">
      <w:pPr>
        <w:rPr>
          <w:lang w:val="el-GR"/>
        </w:rPr>
      </w:pPr>
    </w:p>
    <w:p w:rsidR="0044753D" w:rsidRPr="009816D5" w:rsidRDefault="007B42E7">
      <w:pPr>
        <w:spacing w:line="360" w:lineRule="auto"/>
        <w:ind w:left="35"/>
        <w:jc w:val="both"/>
        <w:rPr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                     </w:t>
      </w:r>
    </w:p>
    <w:p w:rsidR="0044753D" w:rsidRDefault="007B42E7">
      <w:pPr>
        <w:spacing w:line="360" w:lineRule="auto"/>
        <w:ind w:left="35"/>
        <w:jc w:val="both"/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                      Ο ΑΝ. ΠΡΟΪΣΤΑΜΕΝΟΣ ΤΗΣ Δ/ΝΣΗΣ </w:t>
      </w: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44753D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44753D" w:rsidRDefault="007B42E7">
      <w:pPr>
        <w:jc w:val="center"/>
      </w:pPr>
      <w:r>
        <w:rPr>
          <w:rFonts w:ascii="Arial" w:hAnsi="Arial" w:cs="Arial"/>
          <w:b/>
          <w:sz w:val="22"/>
          <w:szCs w:val="22"/>
          <w:lang w:val="el-GR"/>
        </w:rPr>
        <w:t xml:space="preserve">                                                                                                           ΑΘΑΝΑΣΙΟΣ ΣΑΡΟΠΟΥΛΟΣ</w:t>
      </w:r>
    </w:p>
    <w:sectPr w:rsidR="0044753D">
      <w:footerReference w:type="default" r:id="rId8"/>
      <w:pgSz w:w="11906" w:h="16838"/>
      <w:pgMar w:top="851" w:right="851" w:bottom="851" w:left="851" w:header="0" w:footer="284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74" w:rsidRDefault="007B42E7">
      <w:r>
        <w:separator/>
      </w:r>
    </w:p>
  </w:endnote>
  <w:endnote w:type="continuationSeparator" w:id="0">
    <w:p w:rsidR="00000D74" w:rsidRDefault="007B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3D" w:rsidRDefault="0044753D">
    <w:pPr>
      <w:pStyle w:val="ab"/>
      <w:jc w:val="center"/>
    </w:pPr>
  </w:p>
  <w:p w:rsidR="0044753D" w:rsidRDefault="007B42E7">
    <w:pPr>
      <w:pStyle w:val="ab"/>
      <w:jc w:val="center"/>
    </w:pPr>
    <w:r>
      <w:t xml:space="preserve">                                                                                                                                                                              </w:t>
    </w:r>
    <w:proofErr w:type="spellStart"/>
    <w:r>
      <w:t>Σελίδ</w:t>
    </w:r>
    <w:proofErr w:type="spellEnd"/>
    <w:r>
      <w:t xml:space="preserve">α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74" w:rsidRDefault="007B42E7">
      <w:r>
        <w:separator/>
      </w:r>
    </w:p>
  </w:footnote>
  <w:footnote w:type="continuationSeparator" w:id="0">
    <w:p w:rsidR="00000D74" w:rsidRDefault="007B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3384"/>
    <w:multiLevelType w:val="multilevel"/>
    <w:tmpl w:val="0C9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660D17"/>
    <w:multiLevelType w:val="multilevel"/>
    <w:tmpl w:val="159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F97D22"/>
    <w:multiLevelType w:val="multilevel"/>
    <w:tmpl w:val="C400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0314F9"/>
    <w:multiLevelType w:val="multilevel"/>
    <w:tmpl w:val="882C946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776819"/>
    <w:multiLevelType w:val="multilevel"/>
    <w:tmpl w:val="AAB8DCE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F07EC"/>
    <w:multiLevelType w:val="multilevel"/>
    <w:tmpl w:val="159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A92EC4"/>
    <w:multiLevelType w:val="multilevel"/>
    <w:tmpl w:val="9F447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4043375"/>
    <w:multiLevelType w:val="multilevel"/>
    <w:tmpl w:val="BF3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3D"/>
    <w:rsid w:val="00000D74"/>
    <w:rsid w:val="000E2665"/>
    <w:rsid w:val="00295F88"/>
    <w:rsid w:val="0044753D"/>
    <w:rsid w:val="00634482"/>
    <w:rsid w:val="007B42E7"/>
    <w:rsid w:val="007F30D0"/>
    <w:rsid w:val="008779D9"/>
    <w:rsid w:val="009816D5"/>
    <w:rsid w:val="009A6D1C"/>
    <w:rsid w:val="00A64A74"/>
    <w:rsid w:val="00B015C9"/>
    <w:rsid w:val="00B15627"/>
    <w:rsid w:val="00ED1CBD"/>
    <w:rsid w:val="00F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B63D39"/>
  <w15:docId w15:val="{7B082F68-931B-433E-849C-BD817F9D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994"/>
    <w:pPr>
      <w:textAlignment w:val="baseline"/>
    </w:pPr>
    <w:rPr>
      <w:color w:val="00000A"/>
      <w:lang w:val="en-US"/>
    </w:rPr>
  </w:style>
  <w:style w:type="paragraph" w:styleId="4">
    <w:name w:val="heading 4"/>
    <w:basedOn w:val="a"/>
    <w:qFormat/>
    <w:rsid w:val="00B202EE"/>
    <w:pPr>
      <w:keepNext/>
      <w:overflowPunct w:val="0"/>
      <w:ind w:right="850"/>
      <w:jc w:val="center"/>
      <w:textAlignment w:val="auto"/>
      <w:outlineLvl w:val="3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43994"/>
  </w:style>
  <w:style w:type="character" w:customStyle="1" w:styleId="a4">
    <w:name w:val="Σύνδεσμος διαδικτύου"/>
    <w:basedOn w:val="a0"/>
    <w:rsid w:val="00F32D6B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Arial" w:hAnsi="Arial" w:cs="Symbo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Symbol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Arial" w:hAnsi="Arial"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ascii="Arial" w:hAnsi="Arial"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Symbol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Symbol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" w:hAnsi="Arial" w:cs="Symbol"/>
      <w:sz w:val="22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  <w:sz w:val="22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202EE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3">
    <w:name w:val="List Bullet 3"/>
    <w:basedOn w:val="a"/>
    <w:qFormat/>
    <w:rsid w:val="00B43994"/>
    <w:pPr>
      <w:ind w:left="566" w:hanging="283"/>
    </w:pPr>
  </w:style>
  <w:style w:type="paragraph" w:styleId="ab">
    <w:name w:val="footer"/>
    <w:basedOn w:val="a"/>
    <w:rsid w:val="00B43994"/>
    <w:pPr>
      <w:tabs>
        <w:tab w:val="center" w:pos="4153"/>
        <w:tab w:val="right" w:pos="8306"/>
      </w:tabs>
    </w:pPr>
  </w:style>
  <w:style w:type="paragraph" w:styleId="ac">
    <w:name w:val="annotation text"/>
    <w:basedOn w:val="a"/>
    <w:semiHidden/>
    <w:qFormat/>
    <w:rsid w:val="00F32D6B"/>
    <w:pPr>
      <w:overflowPunct w:val="0"/>
      <w:textAlignment w:val="auto"/>
    </w:pPr>
    <w:rPr>
      <w:lang w:val="el-GR"/>
    </w:rPr>
  </w:style>
  <w:style w:type="paragraph" w:customStyle="1" w:styleId="1">
    <w:name w:val="Στυλ1"/>
    <w:basedOn w:val="a"/>
    <w:qFormat/>
    <w:rsid w:val="00F32D6B"/>
    <w:pPr>
      <w:overflowPunct w:val="0"/>
      <w:ind w:firstLine="567"/>
      <w:jc w:val="both"/>
      <w:textAlignment w:val="auto"/>
    </w:pPr>
    <w:rPr>
      <w:sz w:val="24"/>
      <w:lang w:val="el-GR"/>
    </w:rPr>
  </w:style>
  <w:style w:type="paragraph" w:styleId="2">
    <w:name w:val="Body Text Indent 2"/>
    <w:basedOn w:val="a"/>
    <w:qFormat/>
    <w:rsid w:val="00F32D6B"/>
    <w:pPr>
      <w:overflowPunct w:val="0"/>
      <w:ind w:right="-1" w:firstLine="284"/>
      <w:jc w:val="both"/>
      <w:textAlignment w:val="auto"/>
      <w:outlineLvl w:val="0"/>
    </w:pPr>
    <w:rPr>
      <w:rFonts w:ascii="Garamond" w:hAnsi="Garamond"/>
      <w:b/>
      <w:sz w:val="24"/>
    </w:rPr>
  </w:style>
  <w:style w:type="paragraph" w:styleId="30">
    <w:name w:val="Body Text 3"/>
    <w:basedOn w:val="a"/>
    <w:qFormat/>
    <w:rsid w:val="00F32D6B"/>
    <w:pPr>
      <w:overflowPunct w:val="0"/>
      <w:ind w:right="-108"/>
      <w:textAlignment w:val="auto"/>
    </w:pPr>
    <w:rPr>
      <w:i/>
      <w:sz w:val="18"/>
      <w:lang w:val="el-GR"/>
    </w:rPr>
  </w:style>
  <w:style w:type="paragraph" w:styleId="ad">
    <w:name w:val="Balloon Text"/>
    <w:basedOn w:val="a"/>
    <w:semiHidden/>
    <w:qFormat/>
    <w:rsid w:val="0009053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16952"/>
    <w:rPr>
      <w:rFonts w:ascii="Calibri" w:hAnsi="Calibri" w:cs="Calibri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62307"/>
    <w:pPr>
      <w:ind w:left="720"/>
      <w:contextualSpacing/>
    </w:pPr>
  </w:style>
  <w:style w:type="paragraph" w:customStyle="1" w:styleId="21">
    <w:name w:val="Σώμα κείμενου με εσοχή 21"/>
    <w:basedOn w:val="a"/>
    <w:qFormat/>
    <w:pPr>
      <w:ind w:right="-1" w:firstLine="284"/>
      <w:jc w:val="both"/>
    </w:pPr>
    <w:rPr>
      <w:rFonts w:ascii="Garamond" w:hAnsi="Garamond" w:cs="Garamond"/>
      <w:b/>
      <w:sz w:val="24"/>
    </w:rPr>
  </w:style>
  <w:style w:type="paragraph" w:customStyle="1" w:styleId="31">
    <w:name w:val="Σώμα κείμενου 31"/>
    <w:basedOn w:val="a"/>
    <w:qFormat/>
    <w:pPr>
      <w:ind w:right="-108"/>
    </w:pPr>
    <w:rPr>
      <w:i/>
      <w:sz w:val="18"/>
    </w:rPr>
  </w:style>
  <w:style w:type="paragraph" w:customStyle="1" w:styleId="10">
    <w:name w:val="Κείμενο σχολίου1"/>
    <w:basedOn w:val="a"/>
    <w:qFormat/>
  </w:style>
  <w:style w:type="paragraph" w:customStyle="1" w:styleId="af">
    <w:name w:val="Περιεχόμενα πίνακα"/>
    <w:basedOn w:val="a"/>
    <w:qFormat/>
  </w:style>
  <w:style w:type="paragraph" w:customStyle="1" w:styleId="af0">
    <w:name w:val="Επικεφαλίδα πίνακα"/>
    <w:basedOn w:val="af"/>
    <w:qFormat/>
  </w:style>
  <w:style w:type="table" w:styleId="af1">
    <w:name w:val="Table Grid"/>
    <w:basedOn w:val="a1"/>
    <w:rsid w:val="00B4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-messages-label">
    <w:name w:val="rich-messages-label"/>
    <w:basedOn w:val="a0"/>
    <w:rsid w:val="00B0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No 6 / 20  Ιουλίου  2011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6 / 20  Ιουλίου  2011</dc:title>
  <dc:subject/>
  <dc:creator>u12838</dc:creator>
  <dc:description/>
  <cp:lastModifiedBy>ΑΝΤΩΝΙΟΣ ΒΑΪΤΣΟΠΟΥΛΟΣ</cp:lastModifiedBy>
  <cp:revision>5</cp:revision>
  <cp:lastPrinted>2023-08-11T05:49:00Z</cp:lastPrinted>
  <dcterms:created xsi:type="dcterms:W3CDTF">2023-08-11T04:43:00Z</dcterms:created>
  <dcterms:modified xsi:type="dcterms:W3CDTF">2023-08-11T05:50:00Z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